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1E" w:rsidRDefault="0034511E" w:rsidP="0034511E">
      <w:pPr>
        <w:rPr>
          <w:rFonts w:ascii="Arial" w:hAnsi="Arial" w:cs="Arial"/>
          <w:b/>
          <w:bCs/>
          <w:sz w:val="20"/>
          <w:szCs w:val="20"/>
        </w:rPr>
      </w:pPr>
    </w:p>
    <w:p w:rsidR="0034511E" w:rsidRPr="00A64AF6" w:rsidRDefault="0034511E" w:rsidP="0034511E">
      <w:pPr>
        <w:rPr>
          <w:rFonts w:ascii="Arial" w:hAnsi="Arial" w:cs="Arial"/>
          <w:b/>
          <w:bCs/>
          <w:sz w:val="20"/>
          <w:szCs w:val="20"/>
        </w:rPr>
      </w:pPr>
      <w:bookmarkStart w:id="0" w:name="OLE_LINK97"/>
      <w:r w:rsidRPr="00A702D4">
        <w:rPr>
          <w:rFonts w:ascii="Arial" w:hAnsi="Arial" w:cs="Arial"/>
          <w:b/>
          <w:bCs/>
          <w:sz w:val="20"/>
          <w:szCs w:val="20"/>
          <w:highlight w:val="green"/>
        </w:rPr>
        <w:t>Suppl 2. Common Terminology Criteria for Adverse Events v5.0 for hematological adverse events.</w:t>
      </w:r>
    </w:p>
    <w:tbl>
      <w:tblPr>
        <w:tblW w:w="5000" w:type="pct"/>
        <w:tblBorders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left w:w="0" w:type="dxa"/>
          <w:right w:w="0" w:type="dxa"/>
        </w:tblCellMar>
        <w:tblLook w:val="04A0"/>
      </w:tblPr>
      <w:tblGrid>
        <w:gridCol w:w="1471"/>
        <w:gridCol w:w="1472"/>
        <w:gridCol w:w="1472"/>
        <w:gridCol w:w="1472"/>
        <w:gridCol w:w="1572"/>
        <w:gridCol w:w="1469"/>
      </w:tblGrid>
      <w:tr w:rsidR="0034511E" w:rsidRPr="00A64AF6" w:rsidTr="0028672F"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bookmarkEnd w:id="0"/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Blood element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Grade 1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Grade 2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Grade 3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Grade 4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5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11E" w:rsidRPr="00A64AF6" w:rsidRDefault="0034511E" w:rsidP="0028672F">
            <w:pPr>
              <w:spacing w:line="360" w:lineRule="atLeast"/>
              <w:jc w:val="center"/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b/>
                <w:bCs/>
                <w:sz w:val="20"/>
                <w:szCs w:val="20"/>
              </w:rPr>
              <w:t>Grade 5</w:t>
            </w:r>
          </w:p>
        </w:tc>
      </w:tr>
      <w:tr w:rsidR="0034511E" w:rsidRPr="00A64AF6" w:rsidTr="0028672F"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Neutrophils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&lt;LLN to 1500/microL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1000 to 1500/microL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500 to 1000/microL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&lt;500/microL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 </w:t>
            </w:r>
          </w:p>
        </w:tc>
      </w:tr>
      <w:tr w:rsidR="0034511E" w:rsidRPr="00A64AF6" w:rsidTr="0028672F"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Platelets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&lt;LLN to 75,000/microL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50,000 to 75,000/microL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25,000 to 50,000/microL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&lt;25,000/microL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 </w:t>
            </w:r>
          </w:p>
        </w:tc>
      </w:tr>
      <w:tr w:rsidR="0034511E" w:rsidRPr="00A64AF6" w:rsidTr="0028672F"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Hemoglobin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&lt;LLN to 10 g/dL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8.0 to 10.0 g/dL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&lt;8.0 g/dL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Life-threatening consequences; urgent intervention indicated</w:t>
            </w:r>
          </w:p>
        </w:tc>
        <w:tc>
          <w:tcPr>
            <w:tcW w:w="833" w:type="pct"/>
            <w:tcBorders>
              <w:top w:val="single" w:sz="6" w:space="0" w:color="BFBFBF"/>
              <w:left w:val="single" w:sz="6" w:space="0" w:color="BFBFBF"/>
              <w:bottom w:val="single" w:sz="6" w:space="0" w:color="757575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11E" w:rsidRPr="00A64AF6" w:rsidRDefault="0034511E" w:rsidP="0028672F">
            <w:pPr>
              <w:spacing w:line="360" w:lineRule="atLeast"/>
              <w:rPr>
                <w:rFonts w:ascii="Calibri" w:eastAsia="MS PGothic" w:hAnsi="Calibri" w:cs="Calibri"/>
                <w:sz w:val="20"/>
                <w:szCs w:val="20"/>
              </w:rPr>
            </w:pPr>
            <w:r w:rsidRPr="00A64AF6">
              <w:rPr>
                <w:rFonts w:ascii="Calibri" w:eastAsia="MS PGothic" w:hAnsi="Calibri" w:cs="Calibri"/>
                <w:sz w:val="20"/>
                <w:szCs w:val="20"/>
              </w:rPr>
              <w:t>Death</w:t>
            </w:r>
          </w:p>
        </w:tc>
      </w:tr>
    </w:tbl>
    <w:p w:rsidR="0034511E" w:rsidRPr="00A64AF6" w:rsidRDefault="0034511E" w:rsidP="0034511E">
      <w:pPr>
        <w:spacing w:line="315" w:lineRule="atLeast"/>
        <w:rPr>
          <w:rFonts w:ascii="Arial" w:eastAsia="MS PGothic" w:hAnsi="Arial" w:cs="Arial"/>
          <w:szCs w:val="21"/>
        </w:rPr>
      </w:pPr>
      <w:r w:rsidRPr="00A64AF6">
        <w:rPr>
          <w:rFonts w:ascii="Arial" w:eastAsia="MS PGothic" w:hAnsi="Arial" w:cs="Arial"/>
          <w:szCs w:val="21"/>
        </w:rPr>
        <w:t>Neutropenia, thrombocytopenia, and anemia are determined from the complete blood count. LLN: lower limit of normal; Cells/microL is equivalent to cells/mm</w:t>
      </w:r>
      <w:r w:rsidRPr="00A64AF6">
        <w:rPr>
          <w:rFonts w:ascii="Arial" w:eastAsia="MS PGothic" w:hAnsi="Arial" w:cs="Arial"/>
          <w:spacing w:val="19"/>
          <w:sz w:val="18"/>
          <w:szCs w:val="18"/>
          <w:vertAlign w:val="superscript"/>
        </w:rPr>
        <w:t>3</w:t>
      </w:r>
      <w:r w:rsidRPr="00A64AF6">
        <w:rPr>
          <w:rFonts w:ascii="Arial" w:eastAsia="MS PGothic" w:hAnsi="Arial" w:cs="Arial"/>
          <w:szCs w:val="21"/>
        </w:rPr>
        <w:t> or cells x 10</w:t>
      </w:r>
      <w:r w:rsidRPr="00A64AF6">
        <w:rPr>
          <w:rFonts w:ascii="Arial" w:eastAsia="MS PGothic" w:hAnsi="Arial" w:cs="Arial"/>
          <w:spacing w:val="19"/>
          <w:sz w:val="18"/>
          <w:szCs w:val="18"/>
          <w:vertAlign w:val="superscript"/>
        </w:rPr>
        <w:t>9</w:t>
      </w:r>
      <w:r w:rsidRPr="00A64AF6">
        <w:rPr>
          <w:rFonts w:ascii="Arial" w:eastAsia="MS PGothic" w:hAnsi="Arial" w:cs="Arial"/>
          <w:szCs w:val="21"/>
        </w:rPr>
        <w:t>/L.</w:t>
      </w: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34511E" w:rsidRDefault="0034511E" w:rsidP="0034511E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5C29EF" w:rsidRDefault="005C29EF"/>
    <w:sectPr w:rsidR="005C2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4511E"/>
    <w:rsid w:val="0034511E"/>
    <w:rsid w:val="005C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2023-04-11T10:30:00Z</dcterms:created>
  <dcterms:modified xsi:type="dcterms:W3CDTF">2023-04-11T10:30:00Z</dcterms:modified>
</cp:coreProperties>
</file>