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D98" w:rsidRDefault="00017D98" w:rsidP="00017D98">
      <w:pPr>
        <w:rPr>
          <w:rFonts w:ascii="Arial" w:hAnsi="Arial" w:cs="Arial"/>
          <w:sz w:val="20"/>
          <w:szCs w:val="20"/>
        </w:rPr>
      </w:pPr>
    </w:p>
    <w:p w:rsidR="00017D98" w:rsidRDefault="00017D98" w:rsidP="00017D98">
      <w:pPr>
        <w:rPr>
          <w:rFonts w:ascii="Arial" w:hAnsi="Arial" w:cs="Arial"/>
          <w:sz w:val="20"/>
          <w:szCs w:val="20"/>
        </w:rPr>
      </w:pPr>
    </w:p>
    <w:p w:rsidR="00017D98" w:rsidRPr="000E09B6" w:rsidRDefault="00017D98" w:rsidP="00017D98">
      <w:pPr>
        <w:rPr>
          <w:rFonts w:ascii="Arial" w:hAnsi="Arial" w:cs="Arial"/>
          <w:sz w:val="20"/>
          <w:szCs w:val="20"/>
        </w:rPr>
      </w:pPr>
    </w:p>
    <w:p w:rsidR="00017D98" w:rsidRDefault="00017D98" w:rsidP="00017D98">
      <w:pPr>
        <w:rPr>
          <w:rFonts w:ascii="Arial" w:hAnsi="Arial" w:cs="Arial"/>
          <w:b/>
          <w:bCs/>
          <w:sz w:val="20"/>
          <w:szCs w:val="20"/>
        </w:rPr>
      </w:pPr>
      <w:bookmarkStart w:id="0" w:name="OLE_LINK100"/>
      <w:r w:rsidRPr="0067341A">
        <w:rPr>
          <w:rFonts w:ascii="Arial" w:hAnsi="Arial" w:cs="Arial"/>
          <w:b/>
          <w:bCs/>
          <w:sz w:val="20"/>
          <w:szCs w:val="20"/>
          <w:highlight w:val="green"/>
        </w:rPr>
        <w:t>Suppl 5. Subgroup analysis based on immune-checkpoint inhibitor type.</w:t>
      </w:r>
    </w:p>
    <w:bookmarkEnd w:id="0"/>
    <w:p w:rsidR="00017D98" w:rsidRDefault="00017D98" w:rsidP="00017D98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(A) Anemia (</w:t>
      </w:r>
      <w:r w:rsidRPr="00FD2557">
        <w:rPr>
          <w:rFonts w:ascii="Arial" w:hAnsi="Arial" w:cs="Arial"/>
          <w:b/>
          <w:bCs/>
          <w:sz w:val="20"/>
          <w:szCs w:val="20"/>
        </w:rPr>
        <w:t>Grade I–V</w:t>
      </w:r>
      <w:r>
        <w:rPr>
          <w:rFonts w:ascii="Arial" w:hAnsi="Arial" w:cs="Arial"/>
          <w:b/>
          <w:bCs/>
          <w:sz w:val="20"/>
          <w:szCs w:val="20"/>
        </w:rPr>
        <w:t>)</w:t>
      </w:r>
    </w:p>
    <w:p w:rsidR="00017D98" w:rsidRDefault="00017D98" w:rsidP="00017D98">
      <w:pPr>
        <w:rPr>
          <w:rFonts w:ascii="Arial" w:hAnsi="Arial" w:cs="Arial"/>
          <w:b/>
          <w:bCs/>
          <w:sz w:val="20"/>
          <w:szCs w:val="20"/>
        </w:rPr>
      </w:pPr>
      <w:r w:rsidRPr="00AD2F23">
        <w:rPr>
          <w:rFonts w:ascii="Arial" w:hAnsi="Arial" w:cs="Arial"/>
          <w:b/>
          <w:bCs/>
          <w:noProof/>
          <w:sz w:val="20"/>
          <w:szCs w:val="20"/>
        </w:rPr>
        <w:lastRenderedPageBreak/>
        <w:drawing>
          <wp:inline distT="0" distB="0" distL="0" distR="0">
            <wp:extent cx="6353175" cy="6048446"/>
            <wp:effectExtent l="0" t="0" r="0" b="9525"/>
            <wp:docPr id="1" name="図 1" descr="テーブル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テーブル が含まれている画像&#10;&#10;自動的に生成された説明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56475" cy="6051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7D98" w:rsidRDefault="00017D98" w:rsidP="00017D98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(B) Neutropenia (</w:t>
      </w:r>
      <w:r w:rsidRPr="00FD2557">
        <w:rPr>
          <w:rFonts w:ascii="Arial" w:hAnsi="Arial" w:cs="Arial"/>
          <w:b/>
          <w:bCs/>
          <w:sz w:val="20"/>
          <w:szCs w:val="20"/>
        </w:rPr>
        <w:t>Grade I–V</w:t>
      </w:r>
      <w:r>
        <w:rPr>
          <w:rFonts w:ascii="Arial" w:hAnsi="Arial" w:cs="Arial"/>
          <w:b/>
          <w:bCs/>
          <w:sz w:val="20"/>
          <w:szCs w:val="20"/>
        </w:rPr>
        <w:t>)</w:t>
      </w:r>
    </w:p>
    <w:p w:rsidR="00017D98" w:rsidRDefault="00017D98" w:rsidP="00017D98">
      <w:pPr>
        <w:rPr>
          <w:rFonts w:ascii="Arial" w:hAnsi="Arial" w:cs="Arial"/>
          <w:b/>
          <w:bCs/>
          <w:sz w:val="20"/>
          <w:szCs w:val="20"/>
        </w:rPr>
      </w:pPr>
      <w:r w:rsidRPr="00AD2F23">
        <w:rPr>
          <w:rFonts w:ascii="Arial" w:hAnsi="Arial" w:cs="Arial"/>
          <w:b/>
          <w:bCs/>
          <w:noProof/>
          <w:sz w:val="20"/>
          <w:szCs w:val="20"/>
        </w:rPr>
        <w:lastRenderedPageBreak/>
        <w:drawing>
          <wp:inline distT="0" distB="0" distL="0" distR="0">
            <wp:extent cx="6645910" cy="5876925"/>
            <wp:effectExtent l="0" t="0" r="0" b="3175"/>
            <wp:docPr id="7" name="図 7" descr="テーブル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7" descr="テーブル&#10;&#10;中程度の精度で自動的に生成された説明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87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7D98" w:rsidRDefault="00017D98" w:rsidP="00017D98">
      <w:pPr>
        <w:rPr>
          <w:rFonts w:ascii="Arial" w:hAnsi="Arial" w:cs="Arial"/>
          <w:b/>
          <w:bCs/>
          <w:sz w:val="20"/>
          <w:szCs w:val="20"/>
        </w:rPr>
      </w:pPr>
    </w:p>
    <w:p w:rsidR="00017D98" w:rsidRDefault="00017D98" w:rsidP="00017D98">
      <w:pPr>
        <w:rPr>
          <w:rFonts w:ascii="Arial" w:hAnsi="Arial" w:cs="Arial"/>
          <w:b/>
          <w:bCs/>
          <w:sz w:val="20"/>
          <w:szCs w:val="20"/>
        </w:rPr>
      </w:pPr>
    </w:p>
    <w:p w:rsidR="00017D98" w:rsidRDefault="00017D98" w:rsidP="00017D98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(C) Thrombocytopenia (</w:t>
      </w:r>
      <w:r w:rsidRPr="00FD2557">
        <w:rPr>
          <w:rFonts w:ascii="Arial" w:hAnsi="Arial" w:cs="Arial"/>
          <w:b/>
          <w:bCs/>
          <w:sz w:val="20"/>
          <w:szCs w:val="20"/>
        </w:rPr>
        <w:t>Grade I–V</w:t>
      </w:r>
      <w:r>
        <w:rPr>
          <w:rFonts w:ascii="Arial" w:hAnsi="Arial" w:cs="Arial"/>
          <w:b/>
          <w:bCs/>
          <w:sz w:val="20"/>
          <w:szCs w:val="20"/>
        </w:rPr>
        <w:t>)</w:t>
      </w:r>
    </w:p>
    <w:p w:rsidR="00017D98" w:rsidRDefault="00017D98" w:rsidP="00017D98">
      <w:pPr>
        <w:rPr>
          <w:rFonts w:ascii="Arial" w:hAnsi="Arial" w:cs="Arial"/>
          <w:b/>
          <w:bCs/>
          <w:sz w:val="20"/>
          <w:szCs w:val="20"/>
        </w:rPr>
      </w:pPr>
      <w:r w:rsidRPr="00AD2F23">
        <w:rPr>
          <w:rFonts w:ascii="Arial" w:hAnsi="Arial" w:cs="Arial"/>
          <w:b/>
          <w:bCs/>
          <w:noProof/>
          <w:sz w:val="20"/>
          <w:szCs w:val="20"/>
        </w:rPr>
        <w:lastRenderedPageBreak/>
        <w:drawing>
          <wp:inline distT="0" distB="0" distL="0" distR="0">
            <wp:extent cx="6645910" cy="5581650"/>
            <wp:effectExtent l="0" t="0" r="0" b="6350"/>
            <wp:docPr id="9" name="図 9" descr="グラフ, 箱ひげ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9" descr="グラフ, 箱ひげ図&#10;&#10;自動的に生成された説明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58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7D98" w:rsidRDefault="00017D98" w:rsidP="00017D98">
      <w:pPr>
        <w:rPr>
          <w:rFonts w:ascii="Arial" w:hAnsi="Arial" w:cs="Arial"/>
          <w:b/>
          <w:bCs/>
          <w:sz w:val="20"/>
          <w:szCs w:val="20"/>
        </w:rPr>
      </w:pPr>
    </w:p>
    <w:p w:rsidR="00017D98" w:rsidRDefault="00017D98" w:rsidP="00017D98">
      <w:pPr>
        <w:rPr>
          <w:rFonts w:ascii="Arial" w:hAnsi="Arial" w:cs="Arial"/>
          <w:b/>
          <w:bCs/>
          <w:sz w:val="20"/>
          <w:szCs w:val="20"/>
        </w:rPr>
      </w:pPr>
    </w:p>
    <w:p w:rsidR="008817F2" w:rsidRDefault="008817F2"/>
    <w:sectPr w:rsidR="008817F2" w:rsidSect="000E50BF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seFELayout/>
  </w:compat>
  <w:rsids>
    <w:rsidRoot w:val="00017D98"/>
    <w:rsid w:val="00017D98"/>
    <w:rsid w:val="000E50BF"/>
    <w:rsid w:val="00881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7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D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2023-04-11T10:31:00Z</dcterms:created>
  <dcterms:modified xsi:type="dcterms:W3CDTF">2023-04-11T10:31:00Z</dcterms:modified>
</cp:coreProperties>
</file>