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3" w:rsidRPr="00BA5EBA" w:rsidRDefault="00877BC3" w:rsidP="00877BC3">
      <w:pPr>
        <w:adjustRightInd w:val="0"/>
        <w:snapToGrid w:val="0"/>
        <w:rPr>
          <w:rFonts w:ascii="Times New Roman" w:hAnsi="Times New Roman" w:cs="Times New Roman"/>
          <w:sz w:val="16"/>
          <w:szCs w:val="16"/>
        </w:rPr>
      </w:pPr>
    </w:p>
    <w:p w:rsidR="00877BC3" w:rsidRPr="0008285D" w:rsidRDefault="00877BC3" w:rsidP="00877BC3">
      <w:pPr>
        <w:adjustRightInd w:val="0"/>
        <w:snapToGrid w:val="0"/>
        <w:rPr>
          <w:rFonts w:ascii="Times New Roman" w:hAnsi="Times New Roman" w:cs="Times New Roman"/>
          <w:sz w:val="16"/>
          <w:szCs w:val="16"/>
        </w:rPr>
      </w:pPr>
      <w:r w:rsidRPr="0008285D">
        <w:rPr>
          <w:rFonts w:ascii="Times New Roman" w:hAnsi="Times New Roman" w:cs="Times New Roman"/>
          <w:b/>
          <w:bCs/>
          <w:sz w:val="16"/>
          <w:szCs w:val="16"/>
        </w:rPr>
        <w:t xml:space="preserve">Table 2. </w:t>
      </w:r>
      <w:r w:rsidRPr="0008285D">
        <w:rPr>
          <w:rFonts w:ascii="Times New Roman" w:hAnsi="Times New Roman" w:cs="Times New Roman"/>
          <w:sz w:val="16"/>
          <w:szCs w:val="16"/>
        </w:rPr>
        <w:t>Result of Meta-Analysis on Odds Ratios of Grade III-V Anemia, Neutropenia and Thrombocytopenia Comparing the Additional ICI Use With Control Therapy as per Different Types of ICIs</w:t>
      </w:r>
    </w:p>
    <w:tbl>
      <w:tblPr>
        <w:tblStyle w:val="TableGrid"/>
        <w:tblW w:w="5453" w:type="pct"/>
        <w:tblLayout w:type="fixed"/>
        <w:tblLook w:val="04A0"/>
      </w:tblPr>
      <w:tblGrid>
        <w:gridCol w:w="2804"/>
        <w:gridCol w:w="570"/>
        <w:gridCol w:w="488"/>
        <w:gridCol w:w="572"/>
        <w:gridCol w:w="487"/>
        <w:gridCol w:w="1103"/>
        <w:gridCol w:w="657"/>
        <w:gridCol w:w="428"/>
        <w:gridCol w:w="572"/>
        <w:gridCol w:w="487"/>
        <w:gridCol w:w="572"/>
        <w:gridCol w:w="487"/>
        <w:gridCol w:w="901"/>
        <w:gridCol w:w="470"/>
        <w:gridCol w:w="364"/>
        <w:gridCol w:w="572"/>
        <w:gridCol w:w="487"/>
        <w:gridCol w:w="408"/>
        <w:gridCol w:w="478"/>
        <w:gridCol w:w="907"/>
        <w:gridCol w:w="446"/>
        <w:gridCol w:w="414"/>
      </w:tblGrid>
      <w:tr w:rsidR="00B61356" w:rsidRPr="00B5060B" w:rsidTr="00B61356">
        <w:trPr>
          <w:trHeight w:val="72"/>
        </w:trPr>
        <w:tc>
          <w:tcPr>
            <w:tcW w:w="955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gridSpan w:val="7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Anti-PD-1</w:t>
            </w:r>
          </w:p>
        </w:tc>
        <w:tc>
          <w:tcPr>
            <w:tcW w:w="1312" w:type="pct"/>
            <w:gridSpan w:val="7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Anti-PD-L1</w:t>
            </w:r>
          </w:p>
        </w:tc>
        <w:tc>
          <w:tcPr>
            <w:tcW w:w="1267" w:type="pct"/>
            <w:gridSpan w:val="7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Anti-CTLA-4</w:t>
            </w:r>
          </w:p>
        </w:tc>
      </w:tr>
      <w:tr w:rsidR="00B61356" w:rsidRPr="00B5060B" w:rsidTr="00B61356">
        <w:tc>
          <w:tcPr>
            <w:tcW w:w="955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ICI arm</w:t>
            </w:r>
          </w:p>
        </w:tc>
        <w:tc>
          <w:tcPr>
            <w:tcW w:w="361" w:type="pct"/>
            <w:gridSpan w:val="2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 arm</w:t>
            </w:r>
          </w:p>
        </w:tc>
        <w:tc>
          <w:tcPr>
            <w:tcW w:w="376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Odds ratio (95% CI)</w:t>
            </w:r>
          </w:p>
        </w:tc>
        <w:tc>
          <w:tcPr>
            <w:tcW w:w="224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 of studies</w:t>
            </w:r>
          </w:p>
        </w:tc>
        <w:tc>
          <w:tcPr>
            <w:tcW w:w="146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1" w:type="pct"/>
            <w:gridSpan w:val="2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ICI arm</w:t>
            </w:r>
          </w:p>
        </w:tc>
        <w:tc>
          <w:tcPr>
            <w:tcW w:w="361" w:type="pct"/>
            <w:gridSpan w:val="2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 arm</w:t>
            </w:r>
          </w:p>
        </w:tc>
        <w:tc>
          <w:tcPr>
            <w:tcW w:w="307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Odds ratio (95% CI)</w:t>
            </w:r>
          </w:p>
        </w:tc>
        <w:tc>
          <w:tcPr>
            <w:tcW w:w="160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 of studies</w:t>
            </w:r>
          </w:p>
        </w:tc>
        <w:tc>
          <w:tcPr>
            <w:tcW w:w="124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1" w:type="pct"/>
            <w:gridSpan w:val="2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ICI arm</w:t>
            </w:r>
          </w:p>
        </w:tc>
        <w:tc>
          <w:tcPr>
            <w:tcW w:w="302" w:type="pct"/>
            <w:gridSpan w:val="2"/>
            <w:vAlign w:val="center"/>
          </w:tcPr>
          <w:p w:rsidR="00877BC3" w:rsidRPr="00BC06B8" w:rsidRDefault="00877BC3" w:rsidP="004810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Control arm</w:t>
            </w:r>
          </w:p>
        </w:tc>
        <w:tc>
          <w:tcPr>
            <w:tcW w:w="309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Odds ratio (95% CI)</w:t>
            </w:r>
          </w:p>
        </w:tc>
        <w:tc>
          <w:tcPr>
            <w:tcW w:w="152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 of studies</w:t>
            </w:r>
          </w:p>
        </w:tc>
        <w:tc>
          <w:tcPr>
            <w:tcW w:w="143" w:type="pct"/>
            <w:vMerge w:val="restar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B61356" w:rsidRPr="00B5060B" w:rsidTr="00B61356">
        <w:trPr>
          <w:trHeight w:val="465"/>
        </w:trPr>
        <w:tc>
          <w:tcPr>
            <w:tcW w:w="955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Events</w:t>
            </w:r>
          </w:p>
        </w:tc>
        <w:tc>
          <w:tcPr>
            <w:tcW w:w="16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9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Events</w:t>
            </w:r>
          </w:p>
        </w:tc>
        <w:tc>
          <w:tcPr>
            <w:tcW w:w="16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76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Events</w:t>
            </w:r>
          </w:p>
        </w:tc>
        <w:tc>
          <w:tcPr>
            <w:tcW w:w="16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9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Events</w:t>
            </w:r>
          </w:p>
        </w:tc>
        <w:tc>
          <w:tcPr>
            <w:tcW w:w="16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07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Events</w:t>
            </w:r>
          </w:p>
        </w:tc>
        <w:tc>
          <w:tcPr>
            <w:tcW w:w="165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39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Events</w:t>
            </w:r>
          </w:p>
        </w:tc>
        <w:tc>
          <w:tcPr>
            <w:tcW w:w="163" w:type="pct"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09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" w:type="pct"/>
            <w:vMerge/>
            <w:vAlign w:val="center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Anemia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3,901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2,994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1.06 (0.80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1.40)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4,713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4,044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1.05               (0.83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1.32)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2,057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1,813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0.84 (0.46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1.55)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Combination of cytotoxic agents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3,625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2,723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1.18 (0.98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1.43)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4,021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3,355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1.09 (0.85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1.39)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1,664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0.83 (0.36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1.95)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Combination of non-cytotoxic agents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0.43 (0.13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1.40)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0.63 (0.27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1.47)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0.83 (0.41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1.68)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Neutropenia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3,779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2,871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1.13 (0.96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1.32)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4,599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3,980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1.16 (0.93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1.44)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1,644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1,417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1.02 (0.63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1.66)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Combination of cytotoxic agents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3,625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2,723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1.12 (0.96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1.31)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4,021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3,355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1.14 (0.91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1.43)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1,284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1,285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1.04 (0.57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1.89)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Combination of non-cytotoxic agents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4.87 (0.23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102.2)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1.89 (0.51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7.04)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1.05 (0.04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25.87)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Thrombocytopenia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2,619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2,383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1.19 (0.77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1.83)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3,641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3,049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1.53 (1.11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2.11)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2,057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1,813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0.82 (0.43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1.54)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Combination of cytotoxic agents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2,343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2,112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1.20 (0.77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1.85)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3,063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2,424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1.54 (1.11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2.13)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1,677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1,681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0.82 (0.41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1.64)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  <w:tr w:rsidR="00B61356" w:rsidRPr="006A6AC1" w:rsidTr="00B61356">
        <w:tc>
          <w:tcPr>
            <w:tcW w:w="95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Combination of non-cytotoxic agents</w:t>
            </w:r>
          </w:p>
        </w:tc>
        <w:tc>
          <w:tcPr>
            <w:tcW w:w="19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7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0.98 (0.10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9.52)</w:t>
            </w:r>
          </w:p>
        </w:tc>
        <w:tc>
          <w:tcPr>
            <w:tcW w:w="2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307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1.10 (0.11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10.59)</w:t>
            </w:r>
          </w:p>
        </w:tc>
        <w:tc>
          <w:tcPr>
            <w:tcW w:w="160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9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1,234</w:t>
            </w:r>
          </w:p>
        </w:tc>
        <w:tc>
          <w:tcPr>
            <w:tcW w:w="13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1,028</w:t>
            </w:r>
          </w:p>
        </w:tc>
        <w:tc>
          <w:tcPr>
            <w:tcW w:w="309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1.04 (0.25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 xml:space="preserve"> 4.37)</w:t>
            </w:r>
          </w:p>
        </w:tc>
        <w:tc>
          <w:tcPr>
            <w:tcW w:w="152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</w:tcPr>
          <w:p w:rsidR="00877BC3" w:rsidRPr="00BC06B8" w:rsidRDefault="00877BC3" w:rsidP="00481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77BC3" w:rsidRPr="00C90CA4" w:rsidRDefault="00877BC3" w:rsidP="00877BC3">
      <w:pPr>
        <w:adjustRightInd w:val="0"/>
        <w:snapToGrid w:val="0"/>
        <w:rPr>
          <w:rFonts w:ascii="Times New Roman" w:hAnsi="Times New Roman" w:cs="Times New Roman"/>
          <w:sz w:val="16"/>
          <w:szCs w:val="16"/>
        </w:rPr>
      </w:pPr>
      <w:r w:rsidRPr="00C90CA4">
        <w:rPr>
          <w:rFonts w:ascii="Times New Roman" w:eastAsia="MS PGothic" w:hAnsi="Times New Roman" w:cs="Times New Roman"/>
          <w:color w:val="000000"/>
          <w:spacing w:val="3"/>
          <w:sz w:val="16"/>
          <w:szCs w:val="16"/>
          <w:shd w:val="clear" w:color="auto" w:fill="FFFFFF"/>
        </w:rPr>
        <w:t xml:space="preserve">CI: confidence interval; </w:t>
      </w:r>
      <w:r w:rsidRPr="00C90CA4">
        <w:rPr>
          <w:rFonts w:ascii="Times New Roman" w:eastAsia="Arial" w:hAnsi="Times New Roman" w:cs="Times New Roman"/>
          <w:bCs/>
          <w:sz w:val="16"/>
          <w:szCs w:val="16"/>
        </w:rPr>
        <w:t xml:space="preserve">CTLA-4: cytotoxic T lymphocyte antigen-4; </w:t>
      </w:r>
      <w:r w:rsidRPr="00C90CA4">
        <w:rPr>
          <w:rFonts w:ascii="Times New Roman" w:eastAsia="MS PGothic" w:hAnsi="Times New Roman" w:cs="Times New Roman"/>
          <w:color w:val="000000"/>
          <w:spacing w:val="3"/>
          <w:sz w:val="16"/>
          <w:szCs w:val="16"/>
          <w:shd w:val="clear" w:color="auto" w:fill="FFFFFF"/>
        </w:rPr>
        <w:t xml:space="preserve">ICI: </w:t>
      </w:r>
      <w:r w:rsidRPr="00C90CA4">
        <w:rPr>
          <w:rFonts w:ascii="Times New Roman" w:hAnsi="Times New Roman" w:cs="Times New Roman"/>
          <w:sz w:val="16"/>
          <w:szCs w:val="16"/>
        </w:rPr>
        <w:t xml:space="preserve">immune checkpoint inhibitor; </w:t>
      </w:r>
      <w:r w:rsidRPr="00C90CA4">
        <w:rPr>
          <w:rFonts w:ascii="Times New Roman" w:eastAsia="Arial" w:hAnsi="Times New Roman" w:cs="Times New Roman"/>
          <w:bCs/>
          <w:sz w:val="16"/>
          <w:szCs w:val="16"/>
        </w:rPr>
        <w:t>PD-1: programmed cell death-1 receptor; PD-L1: programmed cell death-1 receptor ligand.</w:t>
      </w:r>
    </w:p>
    <w:p w:rsidR="00877BC3" w:rsidRDefault="00877BC3" w:rsidP="00877BC3">
      <w:pPr>
        <w:adjustRightInd w:val="0"/>
        <w:snapToGrid w:val="0"/>
        <w:rPr>
          <w:rFonts w:ascii="Times New Roman" w:hAnsi="Times New Roman" w:cs="Times New Roman"/>
          <w:sz w:val="24"/>
        </w:rPr>
      </w:pPr>
    </w:p>
    <w:p w:rsidR="0069796D" w:rsidRDefault="0069796D"/>
    <w:sectPr w:rsidR="0069796D" w:rsidSect="00F66BE9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877BC3"/>
    <w:rsid w:val="0069796D"/>
    <w:rsid w:val="007378EA"/>
    <w:rsid w:val="00877BC3"/>
    <w:rsid w:val="008F11DF"/>
    <w:rsid w:val="00AC194E"/>
    <w:rsid w:val="00B61356"/>
    <w:rsid w:val="00D55104"/>
    <w:rsid w:val="00E32C25"/>
    <w:rsid w:val="00F6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BC3"/>
    <w:pPr>
      <w:spacing w:after="0" w:line="240" w:lineRule="auto"/>
    </w:pPr>
    <w:rPr>
      <w:kern w:val="2"/>
      <w:sz w:val="21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10</cp:revision>
  <dcterms:created xsi:type="dcterms:W3CDTF">2023-04-12T08:12:00Z</dcterms:created>
  <dcterms:modified xsi:type="dcterms:W3CDTF">2023-04-12T08:15:00Z</dcterms:modified>
</cp:coreProperties>
</file>