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63F" w:rsidRDefault="00984A18" w:rsidP="00F9763F">
      <w:pPr>
        <w:pStyle w:val="Heading2"/>
      </w:pPr>
      <w:r>
        <w:rPr>
          <w:rStyle w:val="EmphasisBold"/>
        </w:rPr>
        <w:t>Suppl</w:t>
      </w:r>
      <w:r w:rsidR="00F9763F">
        <w:rPr>
          <w:rStyle w:val="EmphasisBold"/>
        </w:rPr>
        <w:t xml:space="preserve"> 1. </w:t>
      </w:r>
      <w:r w:rsidR="00F9763F">
        <w:t xml:space="preserve"> Definition and Measurement of Covariates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80"/>
        <w:gridCol w:w="2060"/>
        <w:gridCol w:w="2620"/>
        <w:gridCol w:w="2140"/>
      </w:tblGrid>
      <w:tr w:rsidR="00F9763F" w:rsidTr="00521C0C">
        <w:trPr>
          <w:trHeight w:val="60"/>
          <w:tblHeader/>
        </w:trPr>
        <w:tc>
          <w:tcPr>
            <w:tcW w:w="3580" w:type="dxa"/>
            <w:tcBorders>
              <w:top w:val="single" w:sz="4" w:space="0" w:color="609100"/>
              <w:left w:val="single" w:sz="6" w:space="0" w:color="609100"/>
              <w:bottom w:val="single" w:sz="4" w:space="0" w:color="609100"/>
              <w:right w:val="single" w:sz="6" w:space="0" w:color="000000"/>
            </w:tcBorders>
            <w:shd w:val="solid" w:color="BFD68E" w:fill="auto"/>
            <w:tcMar>
              <w:top w:w="76" w:type="dxa"/>
              <w:left w:w="80" w:type="dxa"/>
              <w:bottom w:w="76" w:type="dxa"/>
              <w:right w:w="80" w:type="dxa"/>
            </w:tcMar>
            <w:vAlign w:val="center"/>
          </w:tcPr>
          <w:p w:rsidR="00F9763F" w:rsidRDefault="00F9763F" w:rsidP="00521C0C">
            <w:pPr>
              <w:pStyle w:val="TableHeading"/>
            </w:pPr>
            <w:r>
              <w:t>Risk factor</w:t>
            </w:r>
          </w:p>
        </w:tc>
        <w:tc>
          <w:tcPr>
            <w:tcW w:w="2060" w:type="dxa"/>
            <w:tcBorders>
              <w:top w:val="single" w:sz="4" w:space="0" w:color="609100"/>
              <w:left w:val="single" w:sz="6" w:space="0" w:color="000000"/>
              <w:bottom w:val="single" w:sz="4" w:space="0" w:color="609100"/>
              <w:right w:val="single" w:sz="6" w:space="0" w:color="000000"/>
            </w:tcBorders>
            <w:shd w:val="solid" w:color="BFD68E" w:fill="auto"/>
            <w:tcMar>
              <w:top w:w="76" w:type="dxa"/>
              <w:left w:w="80" w:type="dxa"/>
              <w:bottom w:w="76" w:type="dxa"/>
              <w:right w:w="80" w:type="dxa"/>
            </w:tcMar>
            <w:vAlign w:val="center"/>
          </w:tcPr>
          <w:p w:rsidR="00F9763F" w:rsidRDefault="00F9763F" w:rsidP="00521C0C">
            <w:pPr>
              <w:pStyle w:val="TableHeading"/>
            </w:pPr>
            <w:r>
              <w:t>Fixed/time-dependent</w:t>
            </w:r>
          </w:p>
        </w:tc>
        <w:tc>
          <w:tcPr>
            <w:tcW w:w="2620" w:type="dxa"/>
            <w:tcBorders>
              <w:top w:val="single" w:sz="4" w:space="0" w:color="609100"/>
              <w:left w:val="single" w:sz="6" w:space="0" w:color="000000"/>
              <w:bottom w:val="single" w:sz="4" w:space="0" w:color="609100"/>
              <w:right w:val="single" w:sz="6" w:space="0" w:color="000000"/>
            </w:tcBorders>
            <w:shd w:val="solid" w:color="BFD68E" w:fill="auto"/>
            <w:tcMar>
              <w:top w:w="76" w:type="dxa"/>
              <w:left w:w="80" w:type="dxa"/>
              <w:bottom w:w="76" w:type="dxa"/>
              <w:right w:w="80" w:type="dxa"/>
            </w:tcMar>
            <w:vAlign w:val="center"/>
          </w:tcPr>
          <w:p w:rsidR="00F9763F" w:rsidRDefault="00F9763F" w:rsidP="00521C0C">
            <w:pPr>
              <w:pStyle w:val="TableHeading"/>
            </w:pPr>
            <w:r>
              <w:t>Categorical/continuous</w:t>
            </w:r>
          </w:p>
        </w:tc>
        <w:tc>
          <w:tcPr>
            <w:tcW w:w="2140" w:type="dxa"/>
            <w:tcBorders>
              <w:top w:val="single" w:sz="4" w:space="0" w:color="609100"/>
              <w:left w:val="single" w:sz="6" w:space="0" w:color="000000"/>
              <w:bottom w:val="single" w:sz="4" w:space="0" w:color="609100"/>
              <w:right w:val="single" w:sz="6" w:space="0" w:color="609100"/>
            </w:tcBorders>
            <w:shd w:val="solid" w:color="BFD68E" w:fill="auto"/>
            <w:tcMar>
              <w:top w:w="76" w:type="dxa"/>
              <w:left w:w="80" w:type="dxa"/>
              <w:bottom w:w="76" w:type="dxa"/>
              <w:right w:w="80" w:type="dxa"/>
            </w:tcMar>
            <w:vAlign w:val="center"/>
          </w:tcPr>
          <w:p w:rsidR="00F9763F" w:rsidRDefault="00F9763F" w:rsidP="00521C0C">
            <w:pPr>
              <w:pStyle w:val="TableHeading"/>
            </w:pPr>
            <w:r>
              <w:t>Identification</w:t>
            </w:r>
          </w:p>
        </w:tc>
      </w:tr>
      <w:tr w:rsidR="00F9763F" w:rsidTr="00521C0C">
        <w:trPr>
          <w:trHeight w:val="60"/>
        </w:trPr>
        <w:tc>
          <w:tcPr>
            <w:tcW w:w="3580" w:type="dxa"/>
            <w:tcBorders>
              <w:top w:val="single" w:sz="6" w:space="0" w:color="000000"/>
              <w:left w:val="single" w:sz="6" w:space="0" w:color="6091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Age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Fixed (at CLD diagnosis)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Continuous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091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VINCI</w:t>
            </w:r>
          </w:p>
        </w:tc>
      </w:tr>
      <w:tr w:rsidR="00F9763F" w:rsidTr="00521C0C">
        <w:trPr>
          <w:trHeight w:val="60"/>
        </w:trPr>
        <w:tc>
          <w:tcPr>
            <w:tcW w:w="3580" w:type="dxa"/>
            <w:tcBorders>
              <w:top w:val="single" w:sz="6" w:space="0" w:color="000000"/>
              <w:left w:val="single" w:sz="6" w:space="0" w:color="609100"/>
              <w:bottom w:val="single" w:sz="6" w:space="0" w:color="000000"/>
              <w:right w:val="single" w:sz="6" w:space="0" w:color="0000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Sex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Fixed (at CLD diagnosis)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Categorical (male/female)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091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VINCI</w:t>
            </w:r>
          </w:p>
        </w:tc>
      </w:tr>
      <w:tr w:rsidR="00F9763F" w:rsidTr="00521C0C">
        <w:trPr>
          <w:trHeight w:val="60"/>
        </w:trPr>
        <w:tc>
          <w:tcPr>
            <w:tcW w:w="3580" w:type="dxa"/>
            <w:tcBorders>
              <w:top w:val="single" w:sz="6" w:space="0" w:color="000000"/>
              <w:left w:val="single" w:sz="6" w:space="0" w:color="6091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International normalized ratio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Time-dependent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Categorical (two categories: &gt; 1.5, ≤ 1.5)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091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Laboratory value</w:t>
            </w:r>
          </w:p>
        </w:tc>
      </w:tr>
      <w:tr w:rsidR="00F9763F" w:rsidTr="00521C0C">
        <w:trPr>
          <w:trHeight w:val="60"/>
        </w:trPr>
        <w:tc>
          <w:tcPr>
            <w:tcW w:w="3580" w:type="dxa"/>
            <w:tcBorders>
              <w:top w:val="single" w:sz="6" w:space="0" w:color="000000"/>
              <w:left w:val="single" w:sz="6" w:space="0" w:color="609100"/>
              <w:bottom w:val="single" w:sz="6" w:space="0" w:color="000000"/>
              <w:right w:val="single" w:sz="6" w:space="0" w:color="0000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Platelet count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Time-dependent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Categorical (two categories: &lt; 50,000/µL, ≥ 50,000/µL)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091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Laboratory value</w:t>
            </w:r>
          </w:p>
        </w:tc>
      </w:tr>
      <w:tr w:rsidR="00F9763F" w:rsidTr="00521C0C">
        <w:trPr>
          <w:trHeight w:val="60"/>
        </w:trPr>
        <w:tc>
          <w:tcPr>
            <w:tcW w:w="3580" w:type="dxa"/>
            <w:tcBorders>
              <w:top w:val="single" w:sz="6" w:space="0" w:color="000000"/>
              <w:left w:val="single" w:sz="6" w:space="0" w:color="6091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Total bilirubin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Time-dependent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Categorical (two categories: ≥ 2 mg/dL, &lt; 2 mg/dL)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091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Laboratory value</w:t>
            </w:r>
          </w:p>
        </w:tc>
      </w:tr>
      <w:tr w:rsidR="00F9763F" w:rsidTr="00521C0C">
        <w:trPr>
          <w:trHeight w:val="60"/>
        </w:trPr>
        <w:tc>
          <w:tcPr>
            <w:tcW w:w="3580" w:type="dxa"/>
            <w:tcBorders>
              <w:top w:val="single" w:sz="6" w:space="0" w:color="000000"/>
              <w:left w:val="single" w:sz="6" w:space="0" w:color="609100"/>
              <w:bottom w:val="single" w:sz="6" w:space="0" w:color="000000"/>
              <w:right w:val="single" w:sz="6" w:space="0" w:color="0000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Albumin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Time-dependent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Categorical (two categories: ≤ 3.5 mg/dL, &gt; 3.5 mg/dL)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091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Laboratory value</w:t>
            </w:r>
          </w:p>
        </w:tc>
      </w:tr>
      <w:tr w:rsidR="00F9763F" w:rsidTr="00521C0C">
        <w:trPr>
          <w:trHeight w:val="60"/>
        </w:trPr>
        <w:tc>
          <w:tcPr>
            <w:tcW w:w="3580" w:type="dxa"/>
            <w:tcBorders>
              <w:top w:val="single" w:sz="6" w:space="0" w:color="000000"/>
              <w:left w:val="single" w:sz="6" w:space="0" w:color="6091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Chronic kidney disease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Time-dependent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Categorical (two categories: CrCl &lt; 30 mL/min, CrCl ≥ 30 mL/min)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091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Laboratory value</w:t>
            </w:r>
          </w:p>
        </w:tc>
      </w:tr>
      <w:tr w:rsidR="00F9763F" w:rsidTr="00521C0C">
        <w:trPr>
          <w:trHeight w:val="60"/>
        </w:trPr>
        <w:tc>
          <w:tcPr>
            <w:tcW w:w="3580" w:type="dxa"/>
            <w:tcBorders>
              <w:top w:val="single" w:sz="6" w:space="0" w:color="000000"/>
              <w:left w:val="single" w:sz="6" w:space="0" w:color="609100"/>
              <w:bottom w:val="single" w:sz="6" w:space="0" w:color="000000"/>
              <w:right w:val="single" w:sz="6" w:space="0" w:color="0000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Aspirin or antiplatelet use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Time-dependent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Categorical (yes/no)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091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PBM</w:t>
            </w:r>
          </w:p>
        </w:tc>
      </w:tr>
      <w:tr w:rsidR="00F9763F" w:rsidTr="00521C0C">
        <w:trPr>
          <w:trHeight w:val="60"/>
        </w:trPr>
        <w:tc>
          <w:tcPr>
            <w:tcW w:w="3580" w:type="dxa"/>
            <w:tcBorders>
              <w:top w:val="single" w:sz="6" w:space="0" w:color="000000"/>
              <w:left w:val="single" w:sz="6" w:space="0" w:color="6091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Prior hemorrhage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Fixed (within 5 years prior to CLD diagnosis)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Categorical (yes/no)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091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ICD-9/10 codes</w:t>
            </w:r>
          </w:p>
        </w:tc>
      </w:tr>
      <w:tr w:rsidR="00F9763F" w:rsidTr="00521C0C">
        <w:trPr>
          <w:trHeight w:val="60"/>
        </w:trPr>
        <w:tc>
          <w:tcPr>
            <w:tcW w:w="3580" w:type="dxa"/>
            <w:tcBorders>
              <w:top w:val="single" w:sz="6" w:space="0" w:color="000000"/>
              <w:left w:val="single" w:sz="6" w:space="0" w:color="609100"/>
              <w:bottom w:val="single" w:sz="6" w:space="0" w:color="000000"/>
              <w:right w:val="single" w:sz="6" w:space="0" w:color="0000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Anemia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Fixed (within 12 months prior to CLD diagnosis)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Categorical (yes/no)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091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Laboratory value: Hgb &lt; 10 Or ICD-9/10 codes</w:t>
            </w:r>
          </w:p>
        </w:tc>
      </w:tr>
      <w:tr w:rsidR="00F9763F" w:rsidTr="00521C0C">
        <w:trPr>
          <w:trHeight w:val="60"/>
        </w:trPr>
        <w:tc>
          <w:tcPr>
            <w:tcW w:w="3580" w:type="dxa"/>
            <w:tcBorders>
              <w:top w:val="single" w:sz="6" w:space="0" w:color="000000"/>
              <w:left w:val="single" w:sz="6" w:space="0" w:color="6091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Hypertension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Fixed (within 12 months prior to CLD diagnosis)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Categorical (yes/no)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091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BP &gt; 160 or ICD-9/10 codes</w:t>
            </w:r>
          </w:p>
        </w:tc>
      </w:tr>
      <w:tr w:rsidR="00F9763F" w:rsidTr="00521C0C">
        <w:trPr>
          <w:trHeight w:val="60"/>
        </w:trPr>
        <w:tc>
          <w:tcPr>
            <w:tcW w:w="3580" w:type="dxa"/>
            <w:tcBorders>
              <w:top w:val="single" w:sz="6" w:space="0" w:color="000000"/>
              <w:left w:val="single" w:sz="6" w:space="0" w:color="609100"/>
              <w:bottom w:val="single" w:sz="6" w:space="0" w:color="000000"/>
              <w:right w:val="single" w:sz="6" w:space="0" w:color="0000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Alcohol abuse, ascites, congestive heart failure, cardiovascular disease, dementia, chronic lung disease, connective tissue disease, peptic ulcer disease, diabetes, hemi- or paraplegia, HIV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Fixed (within 12 months prior to CLD diagnosis)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Categorical (yes/no)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09100"/>
            </w:tcBorders>
            <w:shd w:val="solid" w:color="EFF2DB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ICD-9/10 codes</w:t>
            </w:r>
          </w:p>
        </w:tc>
      </w:tr>
      <w:tr w:rsidR="00F9763F" w:rsidTr="00521C0C">
        <w:trPr>
          <w:trHeight w:val="60"/>
        </w:trPr>
        <w:tc>
          <w:tcPr>
            <w:tcW w:w="3580" w:type="dxa"/>
            <w:tcBorders>
              <w:top w:val="single" w:sz="6" w:space="0" w:color="000000"/>
              <w:left w:val="single" w:sz="6" w:space="0" w:color="609100"/>
              <w:bottom w:val="single" w:sz="4" w:space="0" w:color="6091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Infection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4" w:space="0" w:color="6091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Time-dependent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4" w:space="0" w:color="609100"/>
              <w:right w:val="single" w:sz="6" w:space="0" w:color="0000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Categorical (yes/no)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4" w:space="0" w:color="609100"/>
              <w:right w:val="single" w:sz="6" w:space="0" w:color="609100"/>
            </w:tcBorders>
            <w:shd w:val="solid" w:color="FFFFFF" w:fill="auto"/>
            <w:tcMar>
              <w:top w:w="76" w:type="dxa"/>
              <w:left w:w="80" w:type="dxa"/>
              <w:bottom w:w="76" w:type="dxa"/>
              <w:right w:w="80" w:type="dxa"/>
            </w:tcMar>
          </w:tcPr>
          <w:p w:rsidR="00F9763F" w:rsidRDefault="00F9763F" w:rsidP="00521C0C">
            <w:pPr>
              <w:pStyle w:val="TableBody"/>
            </w:pPr>
            <w:r>
              <w:t>ICD-9/10 codes for sepsis, pneumonia, urinary tract infection, peritonitis</w:t>
            </w:r>
          </w:p>
        </w:tc>
      </w:tr>
    </w:tbl>
    <w:p w:rsidR="00F9763F" w:rsidRDefault="00F9763F" w:rsidP="00F9763F">
      <w:pPr>
        <w:pStyle w:val="Para"/>
      </w:pPr>
    </w:p>
    <w:p w:rsidR="00F9763F" w:rsidRDefault="00F9763F" w:rsidP="00F9763F">
      <w:pPr>
        <w:pStyle w:val="TableFoot"/>
      </w:pPr>
      <w:r>
        <w:t>Time-varying variables were used to predict hemorrhage within 30 days after the abnormal value. CLD: chronic liver disease; CrCl: creatinine clearance; HIV: human immunodeficiency virus; ICD: International Classification of Diseases; PBM: pharmacy benefits management; VINCI: Veterans Informatics and Computing Infrastructure.</w:t>
      </w:r>
    </w:p>
    <w:p w:rsidR="006E683F" w:rsidRPr="00F9763F" w:rsidRDefault="006E683F">
      <w:pPr>
        <w:rPr>
          <w:lang w:val="en-GB"/>
        </w:rPr>
      </w:pPr>
    </w:p>
    <w:sectPr w:rsidR="006E683F" w:rsidRPr="00F9763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20"/>
  <w:characterSpacingControl w:val="doNotCompress"/>
  <w:compat>
    <w:useFELayout/>
  </w:compat>
  <w:rsids>
    <w:rsidRoot w:val="00F9763F"/>
    <w:rsid w:val="006E683F"/>
    <w:rsid w:val="00984A18"/>
    <w:rsid w:val="00F9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">
    <w:name w:val="Para"/>
    <w:basedOn w:val="Normal"/>
    <w:uiPriority w:val="99"/>
    <w:rsid w:val="00F9763F"/>
    <w:pPr>
      <w:autoSpaceDE w:val="0"/>
      <w:autoSpaceDN w:val="0"/>
      <w:adjustRightInd w:val="0"/>
      <w:spacing w:after="0" w:line="220" w:lineRule="atLeast"/>
      <w:ind w:firstLine="345"/>
      <w:jc w:val="both"/>
      <w:textAlignment w:val="center"/>
    </w:pPr>
    <w:rPr>
      <w:rFonts w:ascii="Times New Roman" w:hAnsi="Times New Roman" w:cs="Times New Roman"/>
      <w:color w:val="000000"/>
      <w:sz w:val="20"/>
      <w:szCs w:val="20"/>
      <w:lang w:val="en-GB"/>
    </w:rPr>
  </w:style>
  <w:style w:type="paragraph" w:customStyle="1" w:styleId="Heading2">
    <w:name w:val="Heading2"/>
    <w:basedOn w:val="Normal"/>
    <w:uiPriority w:val="99"/>
    <w:rsid w:val="00F9763F"/>
    <w:pPr>
      <w:autoSpaceDE w:val="0"/>
      <w:autoSpaceDN w:val="0"/>
      <w:adjustRightInd w:val="0"/>
      <w:spacing w:before="323" w:after="0" w:line="288" w:lineRule="auto"/>
      <w:textAlignment w:val="center"/>
    </w:pPr>
    <w:rPr>
      <w:rFonts w:ascii="Times New Roman" w:hAnsi="Times New Roman" w:cs="Times New Roman"/>
      <w:b/>
      <w:bCs/>
      <w:color w:val="000000"/>
      <w:sz w:val="20"/>
      <w:szCs w:val="20"/>
      <w:lang w:val="en-GB"/>
    </w:rPr>
  </w:style>
  <w:style w:type="paragraph" w:customStyle="1" w:styleId="TableFoot">
    <w:name w:val="TableFoot"/>
    <w:basedOn w:val="Normal"/>
    <w:uiPriority w:val="99"/>
    <w:rsid w:val="00F9763F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Arial" w:hAnsi="Arial" w:cs="Arial"/>
      <w:color w:val="000000"/>
      <w:sz w:val="16"/>
      <w:szCs w:val="16"/>
      <w:lang w:val="en-GB"/>
    </w:rPr>
  </w:style>
  <w:style w:type="paragraph" w:customStyle="1" w:styleId="TableHeading">
    <w:name w:val="TableHeading"/>
    <w:basedOn w:val="Normal"/>
    <w:uiPriority w:val="99"/>
    <w:rsid w:val="00F97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b/>
      <w:bCs/>
      <w:color w:val="000000"/>
      <w:sz w:val="18"/>
      <w:szCs w:val="18"/>
      <w:lang w:val="en-GB"/>
    </w:rPr>
  </w:style>
  <w:style w:type="paragraph" w:customStyle="1" w:styleId="TableBody">
    <w:name w:val="TableBody"/>
    <w:basedOn w:val="Normal"/>
    <w:uiPriority w:val="99"/>
    <w:rsid w:val="00F9763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18"/>
      <w:szCs w:val="18"/>
      <w:lang w:val="en-GB"/>
    </w:rPr>
  </w:style>
  <w:style w:type="character" w:customStyle="1" w:styleId="EmphasisBold">
    <w:name w:val="EmphasisBold"/>
    <w:uiPriority w:val="99"/>
    <w:rsid w:val="00F976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2024-06-28T23:41:00Z</dcterms:created>
  <dcterms:modified xsi:type="dcterms:W3CDTF">2024-06-28T23:41:00Z</dcterms:modified>
</cp:coreProperties>
</file>