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4B" w:rsidRDefault="00F354CE" w:rsidP="009D714B">
      <w:pPr>
        <w:spacing w:after="0" w:line="240" w:lineRule="auto"/>
        <w:rPr>
          <w:b/>
          <w:bCs/>
        </w:rPr>
      </w:pPr>
      <w:r w:rsidRPr="00F354CE">
        <w:rPr>
          <w:rFonts w:hint="eastAsia"/>
          <w:b/>
          <w:lang w:eastAsia="zh-CN"/>
        </w:rPr>
        <w:t xml:space="preserve">Suppl </w:t>
      </w:r>
      <w:r>
        <w:rPr>
          <w:rFonts w:hint="eastAsia"/>
          <w:b/>
          <w:lang w:eastAsia="zh-CN"/>
        </w:rPr>
        <w:t>2</w:t>
      </w:r>
      <w:r w:rsidRPr="00F354CE">
        <w:rPr>
          <w:rFonts w:hint="eastAsia"/>
          <w:b/>
          <w:lang w:eastAsia="zh-CN"/>
        </w:rPr>
        <w:t>.</w:t>
      </w:r>
      <w:r w:rsidR="009D714B" w:rsidRPr="004342D9">
        <w:rPr>
          <w:b/>
          <w:bCs/>
        </w:rPr>
        <w:t xml:space="preserve">Table </w:t>
      </w:r>
      <w:r w:rsidR="009D714B">
        <w:rPr>
          <w:b/>
          <w:bCs/>
        </w:rPr>
        <w:t>2</w:t>
      </w:r>
      <w:r w:rsidR="009D714B" w:rsidRPr="004342D9">
        <w:rPr>
          <w:b/>
          <w:bCs/>
        </w:rPr>
        <w:t xml:space="preserve">. </w:t>
      </w:r>
      <w:r w:rsidR="009D714B" w:rsidRPr="00624903">
        <w:t xml:space="preserve">Comparison between </w:t>
      </w:r>
      <w:r w:rsidR="009D714B">
        <w:t>Rh group</w:t>
      </w:r>
      <w:r w:rsidR="009D714B" w:rsidRPr="00624903">
        <w:t xml:space="preserve"> with regards to rates of </w:t>
      </w:r>
      <w:r w:rsidR="009D714B">
        <w:t xml:space="preserve">ICU transfers, </w:t>
      </w:r>
      <w:r w:rsidR="009D714B" w:rsidRPr="00624903">
        <w:t xml:space="preserve">AKI, acute VTE, mechanical ventilation, </w:t>
      </w:r>
      <w:r w:rsidR="009D714B">
        <w:t>use of vaso</w:t>
      </w:r>
      <w:r w:rsidR="009D714B" w:rsidRPr="00624903">
        <w:t>pressors</w:t>
      </w:r>
      <w:r w:rsidR="009D714B">
        <w:t xml:space="preserve">, </w:t>
      </w:r>
      <w:r w:rsidR="009D714B" w:rsidRPr="00624903">
        <w:t>in hospital mortality</w:t>
      </w:r>
      <w:r w:rsidR="009D714B">
        <w:t xml:space="preserve"> and readmissions</w:t>
      </w:r>
      <w:r w:rsidR="009D714B" w:rsidRPr="00624903">
        <w:t xml:space="preserve"> in Covid-19. </w:t>
      </w:r>
      <w:r w:rsidR="009D714B">
        <w:t>Rh negative</w:t>
      </w:r>
      <w:r w:rsidR="009D714B" w:rsidRPr="00624903">
        <w:t xml:space="preserve"> is the comparison group. The regression adjusts for age, gender, race, co-morbidities, </w:t>
      </w:r>
      <w:r w:rsidR="009D714B">
        <w:t xml:space="preserve">clinical characteristics, inflammatory markers, 4C score </w:t>
      </w:r>
      <w:r w:rsidR="009D714B" w:rsidRPr="00624903">
        <w:t>and covid-19 medications including anticoagulation status. The model was bootstrapped 2000 times with replacement. The values shown are – Odds Ratio (95% confidence interval), p value.</w:t>
      </w:r>
      <w:r w:rsidR="009D714B">
        <w:rPr>
          <w:b/>
          <w:bCs/>
        </w:rPr>
        <w:t xml:space="preserve"> </w:t>
      </w:r>
    </w:p>
    <w:p w:rsidR="009D714B" w:rsidRDefault="009D714B" w:rsidP="009D714B">
      <w:pPr>
        <w:spacing w:after="0" w:line="240" w:lineRule="auto"/>
        <w:rPr>
          <w:b/>
          <w:bCs/>
        </w:rPr>
      </w:pPr>
    </w:p>
    <w:tbl>
      <w:tblPr>
        <w:tblStyle w:val="GridTable4"/>
        <w:tblW w:w="0" w:type="auto"/>
        <w:tblLook w:val="04A0"/>
      </w:tblPr>
      <w:tblGrid>
        <w:gridCol w:w="2785"/>
        <w:gridCol w:w="1801"/>
        <w:gridCol w:w="2879"/>
        <w:gridCol w:w="1885"/>
      </w:tblGrid>
      <w:tr w:rsidR="009D714B" w:rsidRPr="0040072B" w:rsidTr="009D714B">
        <w:trPr>
          <w:cnfStyle w:val="100000000000"/>
        </w:trPr>
        <w:tc>
          <w:tcPr>
            <w:cnfStyle w:val="001000000000"/>
            <w:tcW w:w="2785" w:type="dxa"/>
          </w:tcPr>
          <w:p w:rsidR="009D714B" w:rsidRPr="0040072B" w:rsidRDefault="009D714B" w:rsidP="00FF2294"/>
        </w:tc>
        <w:tc>
          <w:tcPr>
            <w:tcW w:w="1801" w:type="dxa"/>
          </w:tcPr>
          <w:p w:rsidR="009D714B" w:rsidRPr="0040072B" w:rsidRDefault="009D714B" w:rsidP="00FF2294">
            <w:pPr>
              <w:jc w:val="center"/>
              <w:cnfStyle w:val="100000000000"/>
            </w:pPr>
            <w:r>
              <w:t>Odds ratio</w:t>
            </w:r>
          </w:p>
        </w:tc>
        <w:tc>
          <w:tcPr>
            <w:tcW w:w="2879" w:type="dxa"/>
          </w:tcPr>
          <w:p w:rsidR="009D714B" w:rsidRDefault="009D714B" w:rsidP="00FF2294">
            <w:pPr>
              <w:jc w:val="center"/>
              <w:cnfStyle w:val="100000000000"/>
            </w:pPr>
            <w:r>
              <w:t>95% confidence interval</w:t>
            </w:r>
          </w:p>
        </w:tc>
        <w:tc>
          <w:tcPr>
            <w:tcW w:w="1885" w:type="dxa"/>
          </w:tcPr>
          <w:p w:rsidR="009D714B" w:rsidRDefault="009D714B" w:rsidP="00FF2294">
            <w:pPr>
              <w:jc w:val="center"/>
              <w:cnfStyle w:val="100000000000"/>
            </w:pPr>
            <w:r>
              <w:t>P value</w:t>
            </w:r>
          </w:p>
        </w:tc>
      </w:tr>
      <w:tr w:rsidR="009D714B" w:rsidRPr="0040072B" w:rsidTr="009D714B">
        <w:trPr>
          <w:cnfStyle w:val="000000100000"/>
        </w:trPr>
        <w:tc>
          <w:tcPr>
            <w:cnfStyle w:val="001000000000"/>
            <w:tcW w:w="2785" w:type="dxa"/>
          </w:tcPr>
          <w:p w:rsidR="009D714B" w:rsidRDefault="009D714B" w:rsidP="00FF2294">
            <w:r>
              <w:t>ICU transfer</w:t>
            </w:r>
          </w:p>
        </w:tc>
        <w:tc>
          <w:tcPr>
            <w:tcW w:w="1801" w:type="dxa"/>
          </w:tcPr>
          <w:p w:rsidR="009D714B" w:rsidRDefault="009D714B" w:rsidP="00FF2294">
            <w:pPr>
              <w:jc w:val="center"/>
              <w:cnfStyle w:val="000000100000"/>
            </w:pPr>
            <w:r>
              <w:t xml:space="preserve">0.81 </w:t>
            </w:r>
          </w:p>
        </w:tc>
        <w:tc>
          <w:tcPr>
            <w:tcW w:w="2879" w:type="dxa"/>
          </w:tcPr>
          <w:p w:rsidR="009D714B" w:rsidRDefault="009D714B" w:rsidP="00FF2294">
            <w:pPr>
              <w:jc w:val="center"/>
              <w:cnfStyle w:val="000000100000"/>
            </w:pPr>
            <w:r>
              <w:t>0.55-1.18</w:t>
            </w:r>
          </w:p>
        </w:tc>
        <w:tc>
          <w:tcPr>
            <w:tcW w:w="1885" w:type="dxa"/>
          </w:tcPr>
          <w:p w:rsidR="009D714B" w:rsidRDefault="009D714B" w:rsidP="00FF2294">
            <w:pPr>
              <w:jc w:val="center"/>
              <w:cnfStyle w:val="000000100000"/>
            </w:pPr>
            <w:r>
              <w:t>0.28</w:t>
            </w:r>
          </w:p>
        </w:tc>
      </w:tr>
      <w:tr w:rsidR="009D714B" w:rsidRPr="0040072B" w:rsidTr="009D714B">
        <w:tc>
          <w:tcPr>
            <w:cnfStyle w:val="001000000000"/>
            <w:tcW w:w="2785" w:type="dxa"/>
          </w:tcPr>
          <w:p w:rsidR="009D714B" w:rsidRPr="002D48B0" w:rsidRDefault="009D714B" w:rsidP="00FF2294">
            <w:r>
              <w:t>Acute kidney injury</w:t>
            </w:r>
          </w:p>
        </w:tc>
        <w:tc>
          <w:tcPr>
            <w:tcW w:w="1801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 xml:space="preserve">1.04 </w:t>
            </w:r>
          </w:p>
        </w:tc>
        <w:tc>
          <w:tcPr>
            <w:tcW w:w="2879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0.71-1.55</w:t>
            </w:r>
          </w:p>
        </w:tc>
        <w:tc>
          <w:tcPr>
            <w:tcW w:w="1885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0.81</w:t>
            </w:r>
          </w:p>
        </w:tc>
      </w:tr>
      <w:tr w:rsidR="009D714B" w:rsidRPr="0040072B" w:rsidTr="009D714B">
        <w:trPr>
          <w:cnfStyle w:val="000000100000"/>
        </w:trPr>
        <w:tc>
          <w:tcPr>
            <w:cnfStyle w:val="001000000000"/>
            <w:tcW w:w="2785" w:type="dxa"/>
          </w:tcPr>
          <w:p w:rsidR="009D714B" w:rsidRPr="002D48B0" w:rsidRDefault="009D714B" w:rsidP="00FF2294">
            <w:r>
              <w:t>Acute VTE</w:t>
            </w:r>
          </w:p>
        </w:tc>
        <w:tc>
          <w:tcPr>
            <w:tcW w:w="1801" w:type="dxa"/>
          </w:tcPr>
          <w:p w:rsidR="009D714B" w:rsidRPr="0040072B" w:rsidRDefault="009D714B" w:rsidP="00FF2294">
            <w:pPr>
              <w:jc w:val="center"/>
              <w:cnfStyle w:val="000000100000"/>
            </w:pPr>
            <w:r>
              <w:t>0.92</w:t>
            </w:r>
          </w:p>
        </w:tc>
        <w:tc>
          <w:tcPr>
            <w:tcW w:w="2879" w:type="dxa"/>
          </w:tcPr>
          <w:p w:rsidR="009D714B" w:rsidRPr="0040072B" w:rsidRDefault="009D714B" w:rsidP="00FF2294">
            <w:pPr>
              <w:jc w:val="center"/>
              <w:cnfStyle w:val="000000100000"/>
            </w:pPr>
            <w:r>
              <w:t>0.54-1.82</w:t>
            </w:r>
          </w:p>
        </w:tc>
        <w:tc>
          <w:tcPr>
            <w:tcW w:w="1885" w:type="dxa"/>
          </w:tcPr>
          <w:p w:rsidR="009D714B" w:rsidRPr="0040072B" w:rsidRDefault="009D714B" w:rsidP="00FF2294">
            <w:pPr>
              <w:jc w:val="center"/>
              <w:cnfStyle w:val="000000100000"/>
            </w:pPr>
            <w:r>
              <w:t>0.75</w:t>
            </w:r>
          </w:p>
        </w:tc>
      </w:tr>
      <w:tr w:rsidR="009D714B" w:rsidRPr="0040072B" w:rsidTr="009D714B">
        <w:tc>
          <w:tcPr>
            <w:cnfStyle w:val="001000000000"/>
            <w:tcW w:w="2785" w:type="dxa"/>
          </w:tcPr>
          <w:p w:rsidR="009D714B" w:rsidRPr="002D48B0" w:rsidRDefault="009D714B" w:rsidP="00FF2294">
            <w:r>
              <w:t>Mechanical ventilation</w:t>
            </w:r>
          </w:p>
        </w:tc>
        <w:tc>
          <w:tcPr>
            <w:tcW w:w="1801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0.81</w:t>
            </w:r>
          </w:p>
        </w:tc>
        <w:tc>
          <w:tcPr>
            <w:tcW w:w="2879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0.46-1.40</w:t>
            </w:r>
          </w:p>
        </w:tc>
        <w:tc>
          <w:tcPr>
            <w:tcW w:w="1885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0.45</w:t>
            </w:r>
          </w:p>
        </w:tc>
      </w:tr>
      <w:tr w:rsidR="009D714B" w:rsidRPr="0040072B" w:rsidTr="009D714B">
        <w:trPr>
          <w:cnfStyle w:val="000000100000"/>
        </w:trPr>
        <w:tc>
          <w:tcPr>
            <w:cnfStyle w:val="001000000000"/>
            <w:tcW w:w="2785" w:type="dxa"/>
          </w:tcPr>
          <w:p w:rsidR="009D714B" w:rsidRPr="002D48B0" w:rsidRDefault="009D714B" w:rsidP="00FF2294">
            <w:r>
              <w:t>Pressor use</w:t>
            </w:r>
          </w:p>
        </w:tc>
        <w:tc>
          <w:tcPr>
            <w:tcW w:w="1801" w:type="dxa"/>
          </w:tcPr>
          <w:p w:rsidR="009D714B" w:rsidRPr="0040072B" w:rsidRDefault="009D714B" w:rsidP="00FF2294">
            <w:pPr>
              <w:jc w:val="center"/>
              <w:cnfStyle w:val="000000100000"/>
            </w:pPr>
            <w:r>
              <w:t>1.91</w:t>
            </w:r>
          </w:p>
        </w:tc>
        <w:tc>
          <w:tcPr>
            <w:tcW w:w="2879" w:type="dxa"/>
          </w:tcPr>
          <w:p w:rsidR="009D714B" w:rsidRPr="0040072B" w:rsidRDefault="009D714B" w:rsidP="00FF2294">
            <w:pPr>
              <w:jc w:val="center"/>
              <w:cnfStyle w:val="000000100000"/>
            </w:pPr>
            <w:r>
              <w:t>0.96-3.81</w:t>
            </w:r>
          </w:p>
        </w:tc>
        <w:tc>
          <w:tcPr>
            <w:tcW w:w="1885" w:type="dxa"/>
          </w:tcPr>
          <w:p w:rsidR="009D714B" w:rsidRPr="0040072B" w:rsidRDefault="009D714B" w:rsidP="00FF2294">
            <w:pPr>
              <w:jc w:val="center"/>
              <w:cnfStyle w:val="000000100000"/>
            </w:pPr>
            <w:r>
              <w:t>0.07</w:t>
            </w:r>
          </w:p>
        </w:tc>
      </w:tr>
      <w:tr w:rsidR="009D714B" w:rsidRPr="0040072B" w:rsidTr="009D714B">
        <w:tc>
          <w:tcPr>
            <w:cnfStyle w:val="001000000000"/>
            <w:tcW w:w="2785" w:type="dxa"/>
          </w:tcPr>
          <w:p w:rsidR="009D714B" w:rsidRPr="0040072B" w:rsidRDefault="009D714B" w:rsidP="00FF2294">
            <w:r>
              <w:t>In hospital mortality</w:t>
            </w:r>
          </w:p>
        </w:tc>
        <w:tc>
          <w:tcPr>
            <w:tcW w:w="1801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1.13</w:t>
            </w:r>
          </w:p>
        </w:tc>
        <w:tc>
          <w:tcPr>
            <w:tcW w:w="2879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0.71-1.78</w:t>
            </w:r>
          </w:p>
        </w:tc>
        <w:tc>
          <w:tcPr>
            <w:tcW w:w="1885" w:type="dxa"/>
          </w:tcPr>
          <w:p w:rsidR="009D714B" w:rsidRPr="0040072B" w:rsidRDefault="009D714B" w:rsidP="00FF2294">
            <w:pPr>
              <w:jc w:val="center"/>
              <w:cnfStyle w:val="000000000000"/>
            </w:pPr>
            <w:r>
              <w:t>0.59</w:t>
            </w:r>
          </w:p>
        </w:tc>
      </w:tr>
      <w:tr w:rsidR="009D714B" w:rsidRPr="0040072B" w:rsidTr="009D714B">
        <w:trPr>
          <w:cnfStyle w:val="000000100000"/>
        </w:trPr>
        <w:tc>
          <w:tcPr>
            <w:cnfStyle w:val="001000000000"/>
            <w:tcW w:w="2785" w:type="dxa"/>
          </w:tcPr>
          <w:p w:rsidR="009D714B" w:rsidRDefault="009D714B" w:rsidP="00FF2294">
            <w:r>
              <w:t>Readmission</w:t>
            </w:r>
          </w:p>
        </w:tc>
        <w:tc>
          <w:tcPr>
            <w:tcW w:w="1801" w:type="dxa"/>
          </w:tcPr>
          <w:p w:rsidR="009D714B" w:rsidRDefault="009D714B" w:rsidP="00FF2294">
            <w:pPr>
              <w:jc w:val="center"/>
              <w:cnfStyle w:val="000000100000"/>
            </w:pPr>
            <w:r>
              <w:t>1.06</w:t>
            </w:r>
          </w:p>
        </w:tc>
        <w:tc>
          <w:tcPr>
            <w:tcW w:w="2879" w:type="dxa"/>
          </w:tcPr>
          <w:p w:rsidR="009D714B" w:rsidRDefault="009D714B" w:rsidP="00FF2294">
            <w:pPr>
              <w:jc w:val="center"/>
              <w:cnfStyle w:val="000000100000"/>
            </w:pPr>
            <w:r>
              <w:t>0.77-1.45</w:t>
            </w:r>
          </w:p>
        </w:tc>
        <w:tc>
          <w:tcPr>
            <w:tcW w:w="1885" w:type="dxa"/>
          </w:tcPr>
          <w:p w:rsidR="009D714B" w:rsidRDefault="009D714B" w:rsidP="00FF2294">
            <w:pPr>
              <w:jc w:val="center"/>
              <w:cnfStyle w:val="000000100000"/>
            </w:pPr>
            <w:r>
              <w:t>0.72</w:t>
            </w:r>
          </w:p>
        </w:tc>
      </w:tr>
    </w:tbl>
    <w:p w:rsidR="009D714B" w:rsidRDefault="009D714B"/>
    <w:sectPr w:rsidR="009D714B" w:rsidSect="00C3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22" w:rsidRDefault="00203722" w:rsidP="00F354CE">
      <w:pPr>
        <w:spacing w:after="0" w:line="240" w:lineRule="auto"/>
      </w:pPr>
      <w:r>
        <w:separator/>
      </w:r>
    </w:p>
  </w:endnote>
  <w:endnote w:type="continuationSeparator" w:id="1">
    <w:p w:rsidR="00203722" w:rsidRDefault="00203722" w:rsidP="00F3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22" w:rsidRDefault="00203722" w:rsidP="00F354CE">
      <w:pPr>
        <w:spacing w:after="0" w:line="240" w:lineRule="auto"/>
      </w:pPr>
      <w:r>
        <w:separator/>
      </w:r>
    </w:p>
  </w:footnote>
  <w:footnote w:type="continuationSeparator" w:id="1">
    <w:p w:rsidR="00203722" w:rsidRDefault="00203722" w:rsidP="00F35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751A"/>
    <w:rsid w:val="00164CEA"/>
    <w:rsid w:val="00203722"/>
    <w:rsid w:val="0028751A"/>
    <w:rsid w:val="003D2C98"/>
    <w:rsid w:val="0044678A"/>
    <w:rsid w:val="00576B9E"/>
    <w:rsid w:val="009D714B"/>
    <w:rsid w:val="00B71280"/>
    <w:rsid w:val="00C3137F"/>
    <w:rsid w:val="00E42CAA"/>
    <w:rsid w:val="00EC7460"/>
    <w:rsid w:val="00F06067"/>
    <w:rsid w:val="00F3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">
    <w:name w:val="Grid Table 4"/>
    <w:basedOn w:val="TableNormal"/>
    <w:uiPriority w:val="49"/>
    <w:rsid w:val="009D7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54CE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CE"/>
    <w:rPr>
      <w:rFonts w:ascii="宋体" w:eastAsia="宋体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5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4CE"/>
  </w:style>
  <w:style w:type="paragraph" w:styleId="Footer">
    <w:name w:val="footer"/>
    <w:basedOn w:val="Normal"/>
    <w:link w:val="FooterChar"/>
    <w:uiPriority w:val="99"/>
    <w:semiHidden/>
    <w:unhideWhenUsed/>
    <w:rsid w:val="00F35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Robin Wei</cp:lastModifiedBy>
  <cp:revision>8</cp:revision>
  <dcterms:created xsi:type="dcterms:W3CDTF">2021-03-18T20:19:00Z</dcterms:created>
  <dcterms:modified xsi:type="dcterms:W3CDTF">2021-06-04T01:18:00Z</dcterms:modified>
</cp:coreProperties>
</file>