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83" w:rsidRDefault="00677883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CA42F8" w:rsidRPr="00DA05AA" w:rsidRDefault="00677883" w:rsidP="00CA42F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Suppl 2. </w:t>
      </w:r>
      <w:r w:rsidR="00CA42F8" w:rsidRPr="00DA05AA">
        <w:rPr>
          <w:rFonts w:ascii="Times New Roman" w:hAnsi="Times New Roman" w:cs="Times New Roman"/>
          <w:b/>
          <w:bCs/>
          <w:sz w:val="24"/>
          <w:szCs w:val="24"/>
        </w:rPr>
        <w:t>Demographical, clinical characteristics and outcomes of COVID-19 patients – with and without venous thromboembolism.</w:t>
      </w:r>
    </w:p>
    <w:tbl>
      <w:tblPr>
        <w:tblStyle w:val="TableGrid"/>
        <w:tblW w:w="0" w:type="auto"/>
        <w:tblLook w:val="04A0"/>
      </w:tblPr>
      <w:tblGrid>
        <w:gridCol w:w="3576"/>
        <w:gridCol w:w="1736"/>
        <w:gridCol w:w="1733"/>
        <w:gridCol w:w="1811"/>
      </w:tblGrid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VTE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VTE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4394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Age, Median (IQR) *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66(52-77)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64(52-75)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Male (%)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Race (%) *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Blacks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Not disclosed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Blood group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30(25.7-35.6)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31.3(26.5-37.5)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Co-morbidities (%)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Congestive Heart Failure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End Stage Renal Disease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Cirrhosis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History of VTE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 meds (%)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Anticoagulation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NSAIDs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P2Y12 inhibitors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Statins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COVID-19 Medications (%)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80.5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92.0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Thiamine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91.2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Steroids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Convalescent plasma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Remedesivir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Ivermectin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Anticoagulation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72.1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Therapeutic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Acute stroke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Acute intracranial bleeding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Acute Kidney Injury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Acute renal failure requiring hemodialysis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Died (%)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DA0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 xml:space="preserve"> in survivors, median (IQR)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5(3-8)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8(4-27)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Time to death, median (IQR)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10(5-18)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14.5(9-24)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Disposition (%)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Home with health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SNF/LTAC/Rehab</w:t>
            </w:r>
            <w:r w:rsidRPr="00DA0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8" w:rsidRPr="00DA05AA" w:rsidTr="00180519">
        <w:tc>
          <w:tcPr>
            <w:tcW w:w="4225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Readmissions</w:t>
            </w:r>
          </w:p>
        </w:tc>
        <w:tc>
          <w:tcPr>
            <w:tcW w:w="207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98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250" w:type="dxa"/>
          </w:tcPr>
          <w:p w:rsidR="00CA42F8" w:rsidRPr="00DA05AA" w:rsidRDefault="00CA42F8" w:rsidP="00180519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5AA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</w:tbl>
    <w:p w:rsidR="00FB2264" w:rsidRDefault="00FB2264" w:rsidP="00C10CD3">
      <w:pPr>
        <w:adjustRightInd w:val="0"/>
        <w:snapToGrid w:val="0"/>
        <w:spacing w:after="0" w:line="240" w:lineRule="auto"/>
      </w:pPr>
    </w:p>
    <w:sectPr w:rsidR="00FB2264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16" w:rsidRDefault="00AF0B16">
      <w:pPr>
        <w:spacing w:after="0" w:line="240" w:lineRule="auto"/>
        <w:pPrChange w:id="2" w:author="larry" w:date="2021-05-20T16:02:00Z">
          <w:pPr/>
        </w:pPrChange>
      </w:pPr>
      <w:r>
        <w:separator/>
      </w:r>
    </w:p>
  </w:endnote>
  <w:endnote w:type="continuationSeparator" w:id="1">
    <w:p w:rsidR="00AF0B16" w:rsidRDefault="00AF0B16">
      <w:pPr>
        <w:spacing w:after="0" w:line="240" w:lineRule="auto"/>
        <w:pPrChange w:id="3" w:author="larry" w:date="2021-05-20T16:0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16" w:rsidRDefault="00AF0B16">
      <w:pPr>
        <w:spacing w:after="0" w:line="240" w:lineRule="auto"/>
        <w:pPrChange w:id="0" w:author="larry" w:date="2021-05-20T16:02:00Z">
          <w:pPr/>
        </w:pPrChange>
      </w:pPr>
      <w:r>
        <w:separator/>
      </w:r>
    </w:p>
  </w:footnote>
  <w:footnote w:type="continuationSeparator" w:id="1">
    <w:p w:rsidR="00AF0B16" w:rsidRDefault="00AF0B16">
      <w:pPr>
        <w:spacing w:after="0" w:line="240" w:lineRule="auto"/>
        <w:pPrChange w:id="1" w:author="larry" w:date="2021-05-20T16:02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2F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883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3CF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0B16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D3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2F8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89E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3CA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A85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F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F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2F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F8"/>
    <w:rPr>
      <w:rFonts w:ascii="宋体" w:eastAsia="宋体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2021-05-25T16:18:00Z</dcterms:created>
  <dcterms:modified xsi:type="dcterms:W3CDTF">2021-06-22T11:45:00Z</dcterms:modified>
</cp:coreProperties>
</file>