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2" w:rsidRPr="00F22C61" w:rsidRDefault="00493122" w:rsidP="00493122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F22C61">
        <w:rPr>
          <w:rFonts w:ascii="Times New Roman" w:hAnsi="Times New Roman" w:cs="Times New Roman"/>
          <w:b/>
        </w:rPr>
        <w:t xml:space="preserve">Supplementary Table 1. </w:t>
      </w:r>
      <w:r w:rsidRPr="00F22C61">
        <w:rPr>
          <w:rFonts w:ascii="Times New Roman" w:hAnsi="Times New Roman" w:cs="Times New Roman"/>
          <w:b/>
          <w:bCs/>
          <w:color w:val="000000"/>
          <w:lang w:val="en-US"/>
        </w:rPr>
        <w:t>Systemic therapy at each relapse</w:t>
      </w:r>
      <w:r w:rsidRPr="00F22C61">
        <w:rPr>
          <w:rFonts w:ascii="Times New Roman" w:hAnsi="Times New Roman" w:cs="Times New Roman"/>
          <w:b/>
        </w:rPr>
        <w:t xml:space="preserve"> </w:t>
      </w:r>
    </w:p>
    <w:tbl>
      <w:tblPr>
        <w:tblStyle w:val="PlainTable21"/>
        <w:tblW w:w="8926" w:type="dxa"/>
        <w:tblLayout w:type="fixed"/>
        <w:tblLook w:val="0000"/>
      </w:tblPr>
      <w:tblGrid>
        <w:gridCol w:w="3006"/>
        <w:gridCol w:w="1951"/>
        <w:gridCol w:w="1984"/>
        <w:gridCol w:w="1985"/>
      </w:tblGrid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cnfStyle w:val="000001000000"/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First relapse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(n=35)</w:t>
            </w:r>
          </w:p>
        </w:tc>
        <w:tc>
          <w:tcPr>
            <w:cnfStyle w:val="00001000000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Second relapse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(n=24)</w:t>
            </w:r>
          </w:p>
        </w:tc>
        <w:tc>
          <w:tcPr>
            <w:cnfStyle w:val="00000100000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Third relapse and beyond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(n=15)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  <w:tcBorders>
              <w:top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BTK inhibitors</w:t>
            </w:r>
          </w:p>
        </w:tc>
        <w:tc>
          <w:tcPr>
            <w:cnfStyle w:val="000001000000"/>
            <w:tcW w:w="1951" w:type="dxa"/>
            <w:tcBorders>
              <w:top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/>
            <w:tcW w:w="1984" w:type="dxa"/>
            <w:tcBorders>
              <w:top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001000000"/>
            <w:tcW w:w="1985" w:type="dxa"/>
            <w:tcBorders>
              <w:top w:val="single" w:sz="4" w:space="0" w:color="auto"/>
            </w:tcBorders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Single agent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With other agents†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Bortezomib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Single agent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With other agents‡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Lenalidomide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Single agent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With Rituximab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Chemotherapy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Rituximab-Bendamustine 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Other regimen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10*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9#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12^</w:t>
            </w:r>
          </w:p>
        </w:tc>
      </w:tr>
      <w:tr w:rsidR="00493122" w:rsidRPr="00C91E75" w:rsidTr="00604A39">
        <w:trPr>
          <w:trHeight w:val="28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Nil systemic therapy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800080"/>
                <w:sz w:val="20"/>
                <w:szCs w:val="20"/>
                <w:lang w:val="en-US"/>
              </w:rPr>
              <w:t>3</w:t>
            </w:r>
          </w:p>
        </w:tc>
      </w:tr>
      <w:tr w:rsidR="00493122" w:rsidRPr="00C91E75" w:rsidTr="00604A39">
        <w:trPr>
          <w:cnfStyle w:val="000000100000"/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Supportive care alone/unknown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93122" w:rsidRPr="00C91E75" w:rsidTr="00604A39">
        <w:trPr>
          <w:trHeight w:val="320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Others ‡‡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93122" w:rsidRPr="00C91E75" w:rsidTr="00604A39">
        <w:trPr>
          <w:cnfStyle w:val="000000100000"/>
          <w:trHeight w:val="274"/>
        </w:trPr>
        <w:tc>
          <w:tcPr>
            <w:cnfStyle w:val="000010000000"/>
            <w:tcW w:w="3006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† Ibrutinib + temsirolimus (n=1), 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Ibrutinib + rituximab (n=2), 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ibrutinib + venetoclax (n=1)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‡ Velcade + rituximab (n=3), 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Velcade + rituximab + 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others (n=2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),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Velcade + rituximab + lenalidomide (n=1),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Velcade + rituximab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+ bendamustine (n=2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),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‡‡ Surgical resection (n=2)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RT alone (n=4)</w:t>
            </w:r>
          </w:p>
        </w:tc>
        <w:tc>
          <w:tcPr>
            <w:cnfStyle w:val="000001000000"/>
            <w:tcW w:w="1951" w:type="dxa"/>
          </w:tcPr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  <w:r w:rsidRPr="00C9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E75">
              <w:rPr>
                <w:rFonts w:ascii="Times New Roman" w:hAnsi="Times New Roman" w:cs="Times New Roman"/>
                <w:i/>
                <w:sz w:val="20"/>
                <w:szCs w:val="20"/>
              </w:rPr>
              <w:t>CHOP-like (n=4)</w:t>
            </w:r>
          </w:p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sz w:val="20"/>
                <w:szCs w:val="20"/>
              </w:rPr>
              <w:t>Gemcitabine-containing (n=1)</w:t>
            </w:r>
          </w:p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sz w:val="20"/>
                <w:szCs w:val="20"/>
              </w:rPr>
              <w:t>Ara-C containing (n=2)</w:t>
            </w:r>
          </w:p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sz w:val="20"/>
                <w:szCs w:val="20"/>
              </w:rPr>
              <w:t>Others (n=3)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1984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# 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CHOP-like (n=3)</w:t>
            </w:r>
          </w:p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Ara-C containing (n=2)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Others (n=4)</w:t>
            </w:r>
          </w:p>
        </w:tc>
        <w:tc>
          <w:tcPr>
            <w:cnfStyle w:val="000001000000"/>
            <w:tcW w:w="1985" w:type="dxa"/>
          </w:tcPr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^ </w:t>
            </w: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CHOP-like (n=1)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Gemcitabine-containing (n=3)</w:t>
            </w:r>
          </w:p>
          <w:p w:rsidR="00493122" w:rsidRPr="00C91E75" w:rsidRDefault="00493122" w:rsidP="00604A39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Ara-C containing (n=5)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91E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Others (n=3)</w:t>
            </w:r>
          </w:p>
          <w:p w:rsidR="00493122" w:rsidRPr="00C91E75" w:rsidRDefault="00493122" w:rsidP="00604A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3384D" w:rsidRDefault="0043384D" w:rsidP="008F2FF6"/>
    <w:sectPr w:rsidR="0043384D" w:rsidSect="00E731B1">
      <w:footerReference w:type="even" r:id="rId6"/>
      <w:footerReference w:type="default" r:id="rId7"/>
      <w:pgSz w:w="11901" w:h="16817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0F" w:rsidRDefault="005E240F" w:rsidP="00032AB6">
      <w:pPr>
        <w:spacing w:after="0" w:line="240" w:lineRule="auto"/>
      </w:pPr>
      <w:r>
        <w:separator/>
      </w:r>
    </w:p>
  </w:endnote>
  <w:endnote w:type="continuationSeparator" w:id="1">
    <w:p w:rsidR="005E240F" w:rsidRDefault="005E240F" w:rsidP="0003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48597362"/>
      <w:docPartObj>
        <w:docPartGallery w:val="Page Numbers (Bottom of Page)"/>
        <w:docPartUnique/>
      </w:docPartObj>
    </w:sdtPr>
    <w:sdtContent>
      <w:p w:rsidR="00F22C61" w:rsidRDefault="00032AB6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22C61" w:rsidRDefault="005E240F" w:rsidP="006C2A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90969754"/>
      <w:docPartObj>
        <w:docPartGallery w:val="Page Numbers (Bottom of Page)"/>
        <w:docPartUnique/>
      </w:docPartObj>
    </w:sdtPr>
    <w:sdtContent>
      <w:p w:rsidR="00F22C61" w:rsidRDefault="00032AB6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2FF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22C61" w:rsidRDefault="005E240F" w:rsidP="006C2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0F" w:rsidRDefault="005E240F" w:rsidP="00032AB6">
      <w:pPr>
        <w:spacing w:after="0" w:line="240" w:lineRule="auto"/>
      </w:pPr>
      <w:r>
        <w:separator/>
      </w:r>
    </w:p>
  </w:footnote>
  <w:footnote w:type="continuationSeparator" w:id="1">
    <w:p w:rsidR="005E240F" w:rsidRDefault="005E240F" w:rsidP="00032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122"/>
    <w:rsid w:val="00032AB6"/>
    <w:rsid w:val="0043384D"/>
    <w:rsid w:val="00493122"/>
    <w:rsid w:val="005E240F"/>
    <w:rsid w:val="005E3B43"/>
    <w:rsid w:val="00884EC2"/>
    <w:rsid w:val="008F2FF6"/>
    <w:rsid w:val="00982E21"/>
    <w:rsid w:val="00986D59"/>
    <w:rsid w:val="00B353CE"/>
    <w:rsid w:val="00D144C9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22"/>
    <w:pPr>
      <w:spacing w:after="160" w:line="259" w:lineRule="auto"/>
    </w:pPr>
    <w:rPr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rPr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22"/>
    <w:rPr>
      <w:lang w:val="en-SG" w:eastAsia="en-US"/>
    </w:rPr>
  </w:style>
  <w:style w:type="table" w:customStyle="1" w:styleId="PlainTable21">
    <w:name w:val="Plain Table 21"/>
    <w:basedOn w:val="TableNormal"/>
    <w:uiPriority w:val="42"/>
    <w:rsid w:val="00493122"/>
    <w:pPr>
      <w:spacing w:after="0" w:line="240" w:lineRule="auto"/>
    </w:pPr>
    <w:rPr>
      <w:lang w:val="en-SG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93122"/>
  </w:style>
  <w:style w:type="paragraph" w:styleId="BalloonText">
    <w:name w:val="Balloon Text"/>
    <w:basedOn w:val="Normal"/>
    <w:link w:val="BalloonTextChar"/>
    <w:uiPriority w:val="99"/>
    <w:semiHidden/>
    <w:unhideWhenUsed/>
    <w:rsid w:val="0049312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22"/>
    <w:rPr>
      <w:rFonts w:ascii="宋体" w:eastAsia="宋体"/>
      <w:sz w:val="18"/>
      <w:szCs w:val="18"/>
      <w:lang w:val="en-SG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9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MS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3</cp:revision>
  <dcterms:created xsi:type="dcterms:W3CDTF">2021-08-27T12:39:00Z</dcterms:created>
  <dcterms:modified xsi:type="dcterms:W3CDTF">2021-08-28T09:40:00Z</dcterms:modified>
</cp:coreProperties>
</file>